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776EAC" w14:textId="626E967C" w:rsidR="00524762" w:rsidRDefault="00524762" w:rsidP="0013226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Financial ratios</w:t>
      </w:r>
    </w:p>
    <w:p w14:paraId="5F9274CF" w14:textId="29D7B745" w:rsidR="00524762" w:rsidRDefault="00524762" w:rsidP="00132267">
      <w:pPr>
        <w:spacing w:line="480" w:lineRule="auto"/>
        <w:rPr>
          <w:rFonts w:ascii="Times New Roman" w:hAnsi="Times New Roman" w:cs="Times New Roman"/>
          <w:sz w:val="24"/>
          <w:szCs w:val="24"/>
        </w:rPr>
      </w:pPr>
      <w:r>
        <w:rPr>
          <w:rFonts w:ascii="Times New Roman" w:hAnsi="Times New Roman" w:cs="Times New Roman"/>
          <w:sz w:val="24"/>
          <w:szCs w:val="24"/>
        </w:rPr>
        <w:t xml:space="preserve">Financial ratios are important tools in determining performance of a business since they show areas which a firm needs to improve. In this section we are going to look at current ratio, debt to equity ratio, free cash flow, price earnings ratio, return on equity and net profit margin. </w:t>
      </w:r>
    </w:p>
    <w:p w14:paraId="2F0C9AB2" w14:textId="77777777" w:rsidR="00BF7719" w:rsidRDefault="00471DA3" w:rsidP="00132267">
      <w:pPr>
        <w:spacing w:line="480" w:lineRule="auto"/>
        <w:rPr>
          <w:rFonts w:ascii="Times New Roman" w:hAnsi="Times New Roman" w:cs="Times New Roman"/>
          <w:sz w:val="24"/>
          <w:szCs w:val="24"/>
        </w:rPr>
      </w:pPr>
      <w:r>
        <w:rPr>
          <w:rFonts w:ascii="Times New Roman" w:hAnsi="Times New Roman" w:cs="Times New Roman"/>
          <w:sz w:val="24"/>
          <w:szCs w:val="24"/>
        </w:rPr>
        <w:t xml:space="preserve">Current ratio shows the </w:t>
      </w:r>
      <w:r w:rsidR="00D40960">
        <w:rPr>
          <w:rFonts w:ascii="Times New Roman" w:hAnsi="Times New Roman" w:cs="Times New Roman"/>
          <w:sz w:val="24"/>
          <w:szCs w:val="24"/>
        </w:rPr>
        <w:t>relations</w:t>
      </w:r>
      <w:r w:rsidR="004F02E6">
        <w:rPr>
          <w:rFonts w:ascii="Times New Roman" w:hAnsi="Times New Roman" w:cs="Times New Roman"/>
          <w:sz w:val="24"/>
          <w:szCs w:val="24"/>
        </w:rPr>
        <w:t>h</w:t>
      </w:r>
      <w:r w:rsidR="00D40960">
        <w:rPr>
          <w:rFonts w:ascii="Times New Roman" w:hAnsi="Times New Roman" w:cs="Times New Roman"/>
          <w:sz w:val="24"/>
          <w:szCs w:val="24"/>
        </w:rPr>
        <w:t>ip between current assets and current liabilities.</w:t>
      </w:r>
      <w:r>
        <w:rPr>
          <w:rFonts w:ascii="Times New Roman" w:hAnsi="Times New Roman" w:cs="Times New Roman"/>
          <w:sz w:val="24"/>
          <w:szCs w:val="24"/>
        </w:rPr>
        <w:t xml:space="preserve"> 2015, current ratio was 0.67 which reduced to 0.35 in 2016 and finally it is at 0.31 in 2017. Th</w:t>
      </w:r>
      <w:r w:rsidR="004F02E6">
        <w:rPr>
          <w:rFonts w:ascii="Times New Roman" w:hAnsi="Times New Roman" w:cs="Times New Roman"/>
          <w:sz w:val="24"/>
          <w:szCs w:val="24"/>
        </w:rPr>
        <w:t>e successive reduction in the ratio from 2015 to 2017 shows that Coke has been increasing current liabilities over time. In 2015, the current assets were 2 billion which increased to 2.7 billion.</w:t>
      </w:r>
    </w:p>
    <w:p w14:paraId="539EA409" w14:textId="4826D65A" w:rsidR="00471DA3" w:rsidRDefault="00BF7719" w:rsidP="00132267">
      <w:pPr>
        <w:spacing w:line="480" w:lineRule="auto"/>
        <w:rPr>
          <w:rFonts w:ascii="Times New Roman" w:hAnsi="Times New Roman" w:cs="Times New Roman"/>
          <w:sz w:val="24"/>
          <w:szCs w:val="24"/>
        </w:rPr>
      </w:pPr>
      <w:r>
        <w:rPr>
          <w:rFonts w:ascii="Times New Roman" w:hAnsi="Times New Roman" w:cs="Times New Roman"/>
          <w:sz w:val="24"/>
          <w:szCs w:val="24"/>
        </w:rPr>
        <w:t>The debt to equity ratio in 2017 was 1.29 which shows the relationship between total liabilities and shareholder</w:t>
      </w:r>
      <w:r w:rsidR="008C2E87">
        <w:rPr>
          <w:rFonts w:ascii="Times New Roman" w:hAnsi="Times New Roman" w:cs="Times New Roman"/>
          <w:sz w:val="24"/>
          <w:szCs w:val="24"/>
        </w:rPr>
        <w:t>’</w:t>
      </w:r>
      <w:r>
        <w:rPr>
          <w:rFonts w:ascii="Times New Roman" w:hAnsi="Times New Roman" w:cs="Times New Roman"/>
          <w:sz w:val="24"/>
          <w:szCs w:val="24"/>
        </w:rPr>
        <w:t>s equity</w:t>
      </w:r>
      <w:r w:rsidR="008C2E87" w:rsidRPr="008C2E87">
        <w:rPr>
          <w:rFonts w:ascii="Times New Roman" w:hAnsi="Times New Roman" w:cs="Times New Roman"/>
          <w:sz w:val="24"/>
          <w:szCs w:val="24"/>
        </w:rPr>
        <w:t xml:space="preserve"> </w:t>
      </w:r>
      <w:r w:rsidR="008C2E87">
        <w:rPr>
          <w:rFonts w:ascii="Times New Roman" w:hAnsi="Times New Roman" w:cs="Times New Roman"/>
          <w:sz w:val="24"/>
          <w:szCs w:val="24"/>
        </w:rPr>
        <w:t>(</w:t>
      </w:r>
      <w:r w:rsidR="008C2E87" w:rsidRPr="008372F1">
        <w:rPr>
          <w:rFonts w:ascii="Times New Roman" w:hAnsi="Times New Roman" w:cs="Times New Roman"/>
          <w:sz w:val="24"/>
          <w:szCs w:val="24"/>
        </w:rPr>
        <w:t>Pizzica, 2015</w:t>
      </w:r>
      <w:r w:rsidR="008C2E87">
        <w:rPr>
          <w:rFonts w:ascii="Times New Roman" w:hAnsi="Times New Roman" w:cs="Times New Roman"/>
          <w:sz w:val="24"/>
          <w:szCs w:val="24"/>
        </w:rPr>
        <w:t>)</w:t>
      </w:r>
      <w:r>
        <w:rPr>
          <w:rFonts w:ascii="Times New Roman" w:hAnsi="Times New Roman" w:cs="Times New Roman"/>
          <w:sz w:val="24"/>
          <w:szCs w:val="24"/>
        </w:rPr>
        <w:t xml:space="preserve">. The ratio is above the industry’s point of 1.09 hence the </w:t>
      </w:r>
      <w:r w:rsidR="00704824">
        <w:rPr>
          <w:rFonts w:ascii="Times New Roman" w:hAnsi="Times New Roman" w:cs="Times New Roman"/>
          <w:sz w:val="24"/>
          <w:szCs w:val="24"/>
        </w:rPr>
        <w:t>firm’s</w:t>
      </w:r>
      <w:r>
        <w:rPr>
          <w:rFonts w:ascii="Times New Roman" w:hAnsi="Times New Roman" w:cs="Times New Roman"/>
          <w:sz w:val="24"/>
          <w:szCs w:val="24"/>
        </w:rPr>
        <w:t xml:space="preserve"> liabilities are more than shareholder’s equity. </w:t>
      </w:r>
      <w:r w:rsidR="00704824">
        <w:rPr>
          <w:rFonts w:ascii="Times New Roman" w:hAnsi="Times New Roman" w:cs="Times New Roman"/>
          <w:sz w:val="24"/>
          <w:szCs w:val="24"/>
        </w:rPr>
        <w:t xml:space="preserve">However, the ratio has been reducing over time implying that shareholders equity has been increasing. </w:t>
      </w:r>
    </w:p>
    <w:p w14:paraId="11CE8947" w14:textId="7573226E" w:rsidR="00704824" w:rsidRDefault="00704824" w:rsidP="00132267">
      <w:pPr>
        <w:spacing w:line="480" w:lineRule="auto"/>
        <w:rPr>
          <w:rFonts w:ascii="Times New Roman" w:hAnsi="Times New Roman" w:cs="Times New Roman"/>
          <w:sz w:val="24"/>
          <w:szCs w:val="24"/>
        </w:rPr>
      </w:pPr>
      <w:r>
        <w:rPr>
          <w:rFonts w:ascii="Times New Roman" w:hAnsi="Times New Roman" w:cs="Times New Roman"/>
          <w:sz w:val="24"/>
          <w:szCs w:val="24"/>
        </w:rPr>
        <w:t>Return on equity measures the ratio of net income to shareholders equity. It is an indication how firm’s management is efficient in using the available assets to generate profits</w:t>
      </w:r>
      <w:r w:rsidR="00DA0AF8" w:rsidRPr="00DA0AF8">
        <w:rPr>
          <w:rFonts w:ascii="Times New Roman" w:hAnsi="Times New Roman" w:cs="Times New Roman"/>
          <w:sz w:val="24"/>
          <w:szCs w:val="24"/>
        </w:rPr>
        <w:t xml:space="preserve"> </w:t>
      </w:r>
      <w:r w:rsidR="00DA0AF8">
        <w:rPr>
          <w:rFonts w:ascii="Times New Roman" w:hAnsi="Times New Roman" w:cs="Times New Roman"/>
          <w:sz w:val="24"/>
          <w:szCs w:val="24"/>
        </w:rPr>
        <w:t>(</w:t>
      </w:r>
      <w:r w:rsidR="00DA0AF8" w:rsidRPr="008372F1">
        <w:rPr>
          <w:rFonts w:ascii="Times New Roman" w:hAnsi="Times New Roman" w:cs="Times New Roman"/>
          <w:sz w:val="24"/>
          <w:szCs w:val="24"/>
        </w:rPr>
        <w:t>Bragg</w:t>
      </w:r>
      <w:r w:rsidR="00DA0AF8">
        <w:rPr>
          <w:rFonts w:ascii="Times New Roman" w:hAnsi="Times New Roman" w:cs="Times New Roman"/>
          <w:sz w:val="24"/>
          <w:szCs w:val="24"/>
        </w:rPr>
        <w:t xml:space="preserve">, </w:t>
      </w:r>
      <w:r w:rsidR="00DA0AF8" w:rsidRPr="008372F1">
        <w:rPr>
          <w:rFonts w:ascii="Times New Roman" w:hAnsi="Times New Roman" w:cs="Times New Roman"/>
          <w:sz w:val="24"/>
          <w:szCs w:val="24"/>
        </w:rPr>
        <w:t>2007)</w:t>
      </w:r>
      <w:r>
        <w:rPr>
          <w:rFonts w:ascii="Times New Roman" w:hAnsi="Times New Roman" w:cs="Times New Roman"/>
          <w:sz w:val="24"/>
          <w:szCs w:val="24"/>
        </w:rPr>
        <w:t xml:space="preserve">. Over the years Coke’s return on equity has been reducing implying there has been poor utilization of assets. In 2017, the Firm’s ratio is -16.47% which is below the industry’s ratio of 12.40%. Coke’s management should work on increasing return on equity.  </w:t>
      </w:r>
    </w:p>
    <w:p w14:paraId="3FE67994" w14:textId="4CF29614" w:rsidR="00EA0E0D" w:rsidRDefault="00EA0E0D" w:rsidP="00132267">
      <w:pPr>
        <w:spacing w:line="480" w:lineRule="auto"/>
        <w:rPr>
          <w:rFonts w:ascii="Times New Roman" w:hAnsi="Times New Roman" w:cs="Times New Roman"/>
          <w:sz w:val="24"/>
          <w:szCs w:val="24"/>
        </w:rPr>
      </w:pPr>
      <w:r>
        <w:rPr>
          <w:rFonts w:ascii="Times New Roman" w:hAnsi="Times New Roman" w:cs="Times New Roman"/>
          <w:sz w:val="24"/>
          <w:szCs w:val="24"/>
        </w:rPr>
        <w:t xml:space="preserve">Price earning ratio is key to investors in determining </w:t>
      </w:r>
      <w:r w:rsidR="00A148D2">
        <w:rPr>
          <w:rFonts w:ascii="Times New Roman" w:hAnsi="Times New Roman" w:cs="Times New Roman"/>
          <w:sz w:val="24"/>
          <w:szCs w:val="24"/>
        </w:rPr>
        <w:t>the market value of firm’s stoke in relation to earnings. In 2017, Coke had price earnings ratio of -60.47% which had reduced from 32.74% in 2016</w:t>
      </w:r>
      <w:r w:rsidR="00C824ED">
        <w:rPr>
          <w:rFonts w:ascii="Times New Roman" w:hAnsi="Times New Roman" w:cs="Times New Roman"/>
          <w:sz w:val="24"/>
          <w:szCs w:val="24"/>
        </w:rPr>
        <w:t xml:space="preserve">. The market’s price earnings ratio is 13% which implies the share value of Coke is undervalued. </w:t>
      </w:r>
    </w:p>
    <w:p w14:paraId="11744FEA" w14:textId="362A84E6" w:rsidR="008372F1" w:rsidRDefault="008372F1" w:rsidP="00132267">
      <w:pPr>
        <w:spacing w:line="480" w:lineRule="auto"/>
        <w:rPr>
          <w:rFonts w:ascii="Times New Roman" w:hAnsi="Times New Roman" w:cs="Times New Roman"/>
          <w:sz w:val="24"/>
          <w:szCs w:val="24"/>
        </w:rPr>
      </w:pPr>
    </w:p>
    <w:p w14:paraId="0A3526A7" w14:textId="64105F08" w:rsidR="008372F1" w:rsidRDefault="008372F1" w:rsidP="0013226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18392A92" w14:textId="631AA686" w:rsidR="008372F1" w:rsidRDefault="008372F1" w:rsidP="00132267">
      <w:pPr>
        <w:spacing w:line="480" w:lineRule="auto"/>
        <w:rPr>
          <w:rFonts w:ascii="Times New Roman" w:hAnsi="Times New Roman" w:cs="Times New Roman"/>
          <w:sz w:val="24"/>
          <w:szCs w:val="24"/>
        </w:rPr>
      </w:pPr>
      <w:r w:rsidRPr="008372F1">
        <w:rPr>
          <w:rFonts w:ascii="Times New Roman" w:hAnsi="Times New Roman" w:cs="Times New Roman"/>
          <w:sz w:val="24"/>
          <w:szCs w:val="24"/>
        </w:rPr>
        <w:t>Bragg, S. M. (2007). </w:t>
      </w:r>
      <w:r w:rsidRPr="008372F1">
        <w:rPr>
          <w:rFonts w:ascii="Times New Roman" w:hAnsi="Times New Roman" w:cs="Times New Roman"/>
          <w:i/>
          <w:iCs/>
          <w:sz w:val="24"/>
          <w:szCs w:val="24"/>
        </w:rPr>
        <w:t>Business ratios and formulas: A comprehensive guide</w:t>
      </w:r>
      <w:r w:rsidRPr="008372F1">
        <w:rPr>
          <w:rFonts w:ascii="Times New Roman" w:hAnsi="Times New Roman" w:cs="Times New Roman"/>
          <w:sz w:val="24"/>
          <w:szCs w:val="24"/>
        </w:rPr>
        <w:t>.</w:t>
      </w:r>
    </w:p>
    <w:p w14:paraId="10733CBF" w14:textId="3E0F3850" w:rsidR="008372F1" w:rsidRDefault="008372F1" w:rsidP="00132267">
      <w:pPr>
        <w:spacing w:line="480" w:lineRule="auto"/>
        <w:rPr>
          <w:rFonts w:ascii="Times New Roman" w:hAnsi="Times New Roman" w:cs="Times New Roman"/>
          <w:sz w:val="24"/>
          <w:szCs w:val="24"/>
        </w:rPr>
      </w:pPr>
      <w:r w:rsidRPr="008372F1">
        <w:rPr>
          <w:rFonts w:ascii="Times New Roman" w:hAnsi="Times New Roman" w:cs="Times New Roman"/>
          <w:sz w:val="24"/>
          <w:szCs w:val="24"/>
        </w:rPr>
        <w:t>Pizzica, A. J. (2015). </w:t>
      </w:r>
      <w:r w:rsidRPr="008372F1">
        <w:rPr>
          <w:rFonts w:ascii="Times New Roman" w:hAnsi="Times New Roman" w:cs="Times New Roman"/>
          <w:i/>
          <w:iCs/>
          <w:sz w:val="24"/>
          <w:szCs w:val="24"/>
        </w:rPr>
        <w:t>Financial ratios for executives: How to assess company strength, fix problems, and make better decisions</w:t>
      </w:r>
      <w:r w:rsidRPr="008372F1">
        <w:rPr>
          <w:rFonts w:ascii="Times New Roman" w:hAnsi="Times New Roman" w:cs="Times New Roman"/>
          <w:sz w:val="24"/>
          <w:szCs w:val="24"/>
        </w:rPr>
        <w:t>.</w:t>
      </w:r>
    </w:p>
    <w:p w14:paraId="1794462D" w14:textId="77777777" w:rsidR="008372F1" w:rsidRPr="00524762" w:rsidRDefault="008372F1" w:rsidP="00132267">
      <w:pPr>
        <w:spacing w:line="480" w:lineRule="auto"/>
        <w:rPr>
          <w:rFonts w:ascii="Times New Roman" w:hAnsi="Times New Roman" w:cs="Times New Roman"/>
          <w:sz w:val="24"/>
          <w:szCs w:val="24"/>
        </w:rPr>
      </w:pPr>
    </w:p>
    <w:sectPr w:rsidR="008372F1" w:rsidRPr="005247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52A"/>
    <w:rsid w:val="0007212A"/>
    <w:rsid w:val="00132267"/>
    <w:rsid w:val="00471DA3"/>
    <w:rsid w:val="004F02E6"/>
    <w:rsid w:val="00524762"/>
    <w:rsid w:val="0065552A"/>
    <w:rsid w:val="00704824"/>
    <w:rsid w:val="008372F1"/>
    <w:rsid w:val="008C2E87"/>
    <w:rsid w:val="00A148D2"/>
    <w:rsid w:val="00BF7719"/>
    <w:rsid w:val="00C824ED"/>
    <w:rsid w:val="00D40960"/>
    <w:rsid w:val="00DA0AF8"/>
    <w:rsid w:val="00EA0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77918"/>
  <w15:chartTrackingRefBased/>
  <w15:docId w15:val="{6B6BF833-45A0-478D-87D9-6E72B14ED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94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 Scofied</cp:lastModifiedBy>
  <cp:revision>2</cp:revision>
  <dcterms:created xsi:type="dcterms:W3CDTF">2019-02-04T17:36:00Z</dcterms:created>
  <dcterms:modified xsi:type="dcterms:W3CDTF">2019-02-04T17:36:00Z</dcterms:modified>
</cp:coreProperties>
</file>